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#11</w:t>
      </w:r>
      <w:r>
        <w:rPr>
          <w:rFonts w:hint="eastAsia" w:eastAsia="宋体"/>
          <w:lang w:val="en-US" w:eastAsia="zh-CN"/>
        </w:rPr>
        <w:t>9b-e                      R2-2209750</w:t>
      </w:r>
    </w:p>
    <w:p>
      <w:pPr>
        <w:pStyle w:val="8"/>
        <w:rPr>
          <w:lang w:val="en-GB"/>
        </w:rPr>
      </w:pPr>
      <w:r>
        <w:rPr>
          <w:b/>
          <w:bCs/>
          <w:sz w:val="24"/>
        </w:rPr>
        <w:t>Electronic</w:t>
      </w:r>
      <w:r>
        <w:rPr>
          <w:lang w:val="en-GB"/>
        </w:rPr>
        <w:t xml:space="preserve">, </w:t>
      </w:r>
      <w:r>
        <w:rPr>
          <w:rFonts w:hint="eastAsia" w:eastAsia="宋体"/>
          <w:lang w:val="en-US" w:eastAsia="zh-CN"/>
        </w:rPr>
        <w:t>Oct</w:t>
      </w:r>
      <w:r>
        <w:t xml:space="preserve"> </w:t>
      </w:r>
      <w:r>
        <w:rPr>
          <w:rFonts w:hint="eastAsia" w:eastAsia="宋体"/>
          <w:lang w:val="en-US" w:eastAsia="zh-CN"/>
        </w:rPr>
        <w:t>10</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Oct</w:t>
      </w:r>
      <w:r>
        <w:t xml:space="preserve"> </w:t>
      </w:r>
      <w:r>
        <w:rPr>
          <w:rFonts w:hint="eastAsia" w:eastAsia="宋体"/>
          <w:lang w:val="en-US" w:eastAsia="zh-CN"/>
        </w:rPr>
        <w:t>19</w:t>
      </w:r>
      <w:r>
        <w:rPr>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8.6.2.</w:t>
      </w:r>
      <w:bookmarkStart w:id="3" w:name="_GoBack"/>
      <w:bookmarkEnd w:id="3"/>
      <w:r>
        <w:rPr>
          <w:rFonts w:hint="eastAsia" w:eastAsia="宋体" w:cs="Arial"/>
          <w:b/>
          <w:bCs/>
          <w:sz w:val="24"/>
          <w:lang w:val="en-US" w:eastAsia="zh-CN"/>
        </w:rPr>
        <w:t>1</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pStyle w:val="22"/>
        <w:keepNext w:val="0"/>
        <w:keepLines w:val="0"/>
        <w:pageBreakBefore w:val="0"/>
        <w:widowControl w:val="0"/>
        <w:tabs>
          <w:tab w:val="left" w:pos="1580"/>
          <w:tab w:val="left" w:pos="2680"/>
          <w:tab w:val="clear" w:pos="1800"/>
          <w:tab w:val="clear" w:pos="9360"/>
        </w:tabs>
        <w:kinsoku/>
        <w:wordWrap/>
        <w:overflowPunct/>
        <w:topLinePunct w:val="0"/>
        <w:autoSpaceDE/>
        <w:autoSpaceDN/>
        <w:bidi w:val="0"/>
        <w:adjustRightInd/>
        <w:snapToGrid w:val="0"/>
        <w:spacing w:after="180"/>
        <w:textAlignment w:val="auto"/>
        <w:rPr>
          <w:rFonts w:hint="default" w:ascii="Arial" w:hAnsi="Arial" w:eastAsia="宋体" w:cs="Arial"/>
          <w:b/>
          <w:bCs/>
          <w:kern w:val="0"/>
          <w:sz w:val="24"/>
          <w:szCs w:val="24"/>
          <w:lang w:val="en-US" w:eastAsia="en-US" w:bidi="ar-SA"/>
        </w:rPr>
      </w:pPr>
      <w:r>
        <w:rPr>
          <w:rFonts w:hint="eastAsia" w:ascii="Arial" w:hAnsi="Arial" w:eastAsia="宋体" w:cs="Arial"/>
          <w:b/>
          <w:bCs/>
          <w:kern w:val="0"/>
          <w:sz w:val="24"/>
          <w:szCs w:val="24"/>
          <w:lang w:val="en-US" w:eastAsia="en-US" w:bidi="ar-SA"/>
        </w:rPr>
        <w:t xml:space="preserve">Title:  </w:t>
      </w:r>
      <w:r>
        <w:rPr>
          <w:rFonts w:hint="eastAsia" w:ascii="Arial" w:hAnsi="Arial" w:eastAsia="宋体" w:cs="Arial"/>
          <w:b/>
          <w:bCs/>
          <w:kern w:val="0"/>
          <w:sz w:val="24"/>
          <w:szCs w:val="24"/>
          <w:lang w:val="en-US" w:eastAsia="zh-CN" w:bidi="ar-SA"/>
        </w:rPr>
        <w:t xml:space="preserve"> </w:t>
      </w:r>
      <w:r>
        <w:rPr>
          <w:rFonts w:hint="eastAsia" w:eastAsia="宋体" w:cs="Arial"/>
          <w:b/>
          <w:bCs/>
          <w:kern w:val="0"/>
          <w:sz w:val="24"/>
          <w:szCs w:val="24"/>
          <w:lang w:val="en-US" w:eastAsia="zh-CN" w:bidi="ar-SA"/>
        </w:rPr>
        <w:t xml:space="preserve">         </w:t>
      </w:r>
      <w:r>
        <w:rPr>
          <w:rFonts w:hint="eastAsia" w:ascii="Arial" w:hAnsi="Arial" w:eastAsia="宋体" w:cs="Arial"/>
          <w:b/>
          <w:bCs/>
          <w:kern w:val="0"/>
          <w:sz w:val="24"/>
          <w:szCs w:val="24"/>
          <w:lang w:val="en-US" w:eastAsia="en-US" w:bidi="ar-SA"/>
        </w:rPr>
        <w:t xml:space="preserve">Discussion on </w:t>
      </w:r>
      <w:bookmarkStart w:id="0" w:name="OLE_LINK3"/>
      <w:r>
        <w:rPr>
          <w:rFonts w:hint="eastAsia"/>
          <w:lang w:val="en-US" w:eastAsia="zh-CN"/>
        </w:rPr>
        <w:t>p</w:t>
      </w:r>
      <w:r>
        <w:t xml:space="preserve">erformance </w:t>
      </w:r>
      <w:r>
        <w:rPr>
          <w:rFonts w:hint="eastAsia"/>
          <w:lang w:val="en-US" w:eastAsia="zh-CN"/>
        </w:rPr>
        <w:t>e</w:t>
      </w:r>
      <w:r>
        <w:t>nhancements</w:t>
      </w:r>
      <w:bookmarkEnd w:id="0"/>
      <w:r>
        <w:rPr>
          <w:rFonts w:hint="eastAsia" w:ascii="Arial" w:hAnsi="Arial" w:eastAsia="宋体" w:cs="Arial"/>
          <w:b/>
          <w:bCs/>
          <w:kern w:val="0"/>
          <w:sz w:val="24"/>
          <w:szCs w:val="24"/>
          <w:lang w:val="en-US" w:eastAsia="en-US" w:bidi="ar-SA"/>
        </w:rPr>
        <w:t xml:space="preserve"> for IoT-NTN</w:t>
      </w:r>
    </w:p>
    <w:p>
      <w:pPr>
        <w:tabs>
          <w:tab w:val="left" w:pos="1979"/>
          <w:tab w:val="left" w:pos="2100"/>
          <w:tab w:val="left" w:pos="2520"/>
          <w:tab w:val="left" w:pos="4180"/>
        </w:tabs>
        <w:spacing w:after="180"/>
        <w:rPr>
          <w:rFonts w:hint="eastAsia" w:cs="Arial"/>
          <w:b/>
          <w:bCs/>
          <w:sz w:val="24"/>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0" w:afterLines="-2147483648"/>
        <w:textAlignment w:val="auto"/>
        <w:rPr>
          <w:rFonts w:hint="default" w:eastAsia="宋体" w:cs="Arial"/>
          <w:color w:val="000000"/>
          <w:lang w:val="en-US" w:eastAsia="zh-CN"/>
        </w:rPr>
      </w:pPr>
      <w:r>
        <w:rPr>
          <w:rFonts w:hint="default" w:ascii="Times New Roman" w:hAnsi="Times New Roman" w:eastAsia="Arial" w:cs="Times New Roman"/>
          <w:color w:val="000000"/>
        </w:rPr>
        <w:t>In the last</w:t>
      </w:r>
      <w:r>
        <w:rPr>
          <w:rFonts w:hint="eastAsia" w:ascii="Times New Roman" w:hAnsi="Times New Roman" w:eastAsia="宋体" w:cs="Times New Roman"/>
          <w:color w:val="000000"/>
          <w:lang w:val="en-US" w:eastAsia="zh-CN"/>
        </w:rPr>
        <w:t xml:space="preserve"> </w:t>
      </w:r>
      <w:r>
        <w:rPr>
          <w:rFonts w:hint="default" w:ascii="Times New Roman" w:hAnsi="Times New Roman" w:eastAsia="Arial" w:cs="Times New Roman"/>
          <w:color w:val="000000"/>
        </w:rPr>
        <w:t xml:space="preserve">RAN2 meeting, the </w:t>
      </w:r>
      <w:r>
        <w:rPr>
          <w:rFonts w:hint="default" w:ascii="Times New Roman" w:hAnsi="Times New Roman" w:cs="Times New Roman"/>
          <w:lang w:val="en-US" w:eastAsia="zh-CN"/>
        </w:rPr>
        <w:t>p</w:t>
      </w:r>
      <w:r>
        <w:rPr>
          <w:rFonts w:hint="default" w:ascii="Times New Roman" w:hAnsi="Times New Roman" w:cs="Times New Roman"/>
        </w:rPr>
        <w:t xml:space="preserve">erformance </w:t>
      </w:r>
      <w:r>
        <w:rPr>
          <w:rFonts w:hint="default" w:ascii="Times New Roman" w:hAnsi="Times New Roman" w:cs="Times New Roman"/>
          <w:lang w:val="en-US" w:eastAsia="zh-CN"/>
        </w:rPr>
        <w:t>e</w:t>
      </w:r>
      <w:r>
        <w:rPr>
          <w:rFonts w:hint="default" w:ascii="Times New Roman" w:hAnsi="Times New Roman" w:cs="Times New Roman"/>
        </w:rPr>
        <w:t>nhancements</w:t>
      </w:r>
      <w:r>
        <w:rPr>
          <w:rFonts w:hint="default" w:ascii="Times New Roman" w:hAnsi="Times New Roman" w:eastAsia="Arial" w:cs="Times New Roman"/>
          <w:color w:val="000000"/>
        </w:rPr>
        <w:t xml:space="preserve"> was discussed, and it has already agreed with the agreements mentioned in the table below:</w:t>
      </w:r>
      <w:r>
        <w:rPr>
          <w:rFonts w:hint="eastAsia" w:ascii="Times New Roman" w:hAnsi="Times New Roman" w:eastAsia="宋体" w:cs="Times New Roman"/>
          <w:color w:val="000000"/>
          <w:lang w:val="en-US" w:eastAsia="zh-CN"/>
        </w:rPr>
        <w:t xml:space="preserve"> [1]</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left="0" w:right="0" w:firstLine="0"/>
              <w:jc w:val="both"/>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RAN2#119e</w:t>
            </w:r>
          </w:p>
          <w:p>
            <w:pPr>
              <w:pStyle w:val="20"/>
              <w:keepNext w:val="0"/>
              <w:keepLines w:val="0"/>
              <w:widowControl w:val="0"/>
              <w:suppressLineNumbers w:val="0"/>
              <w:spacing w:beforeAutospacing="0" w:after="0" w:afterAutospacing="0"/>
              <w:ind w:left="0" w:right="0" w:firstLine="0"/>
              <w:jc w:val="both"/>
              <w:rPr>
                <w:rFonts w:hint="default" w:ascii="Times New Roman" w:hAnsi="Times New Roman"/>
                <w:sz w:val="20"/>
              </w:rPr>
            </w:pPr>
            <w:r>
              <w:rPr>
                <w:rFonts w:hint="eastAsia" w:ascii="Times New Roman" w:hAnsi="Times New Roman" w:eastAsia="宋体"/>
                <w:sz w:val="20"/>
                <w:lang w:val="en-US" w:eastAsia="zh-CN"/>
              </w:rPr>
              <w:t xml:space="preserve">HARQ </w:t>
            </w:r>
            <w:r>
              <w:rPr>
                <w:rFonts w:hint="default" w:ascii="Times New Roman" w:hAnsi="Times New Roman"/>
                <w:sz w:val="20"/>
              </w:rPr>
              <w:t>Agreements:</w:t>
            </w:r>
          </w:p>
          <w:p>
            <w:pPr>
              <w:pStyle w:val="20"/>
              <w:keepNext w:val="0"/>
              <w:keepLines w:val="0"/>
              <w:widowControl w:val="0"/>
              <w:numPr>
                <w:ilvl w:val="0"/>
                <w:numId w:val="4"/>
              </w:numPr>
              <w:suppressLineNumbers w:val="0"/>
              <w:spacing w:beforeAutospacing="0" w:after="0" w:afterAutospacing="0"/>
              <w:ind w:left="0" w:right="0" w:firstLine="0"/>
              <w:jc w:val="both"/>
              <w:rPr>
                <w:rFonts w:hint="default" w:ascii="Times New Roman" w:hAnsi="Times New Roman"/>
                <w:sz w:val="20"/>
              </w:rPr>
            </w:pPr>
            <w:r>
              <w:rPr>
                <w:rFonts w:hint="default" w:ascii="Times New Roman" w:hAnsi="Times New Roman"/>
                <w:sz w:val="20"/>
              </w:rPr>
              <w:t>Disabling DL HARQ feedback is supported for NB-IoT and eMTC NTN. FFS on UE capability</w:t>
            </w:r>
          </w:p>
          <w:p>
            <w:pPr>
              <w:pStyle w:val="20"/>
              <w:keepNext w:val="0"/>
              <w:keepLines w:val="0"/>
              <w:widowControl w:val="0"/>
              <w:numPr>
                <w:ilvl w:val="0"/>
                <w:numId w:val="4"/>
              </w:numPr>
              <w:suppressLineNumbers w:val="0"/>
              <w:spacing w:beforeAutospacing="0" w:after="0" w:afterAutospacing="0"/>
              <w:ind w:left="0" w:right="0" w:firstLine="0"/>
              <w:jc w:val="both"/>
              <w:rPr>
                <w:rFonts w:hint="default" w:ascii="Times New Roman" w:hAnsi="Times New Roman"/>
                <w:sz w:val="20"/>
              </w:rPr>
            </w:pPr>
            <w:r>
              <w:rPr>
                <w:rFonts w:hint="default" w:ascii="Times New Roman" w:hAnsi="Times New Roman"/>
                <w:sz w:val="20"/>
              </w:rPr>
              <w:t>For UL HARQ operation, introduce two HARQ modes, i.e., HARQ mode A and HARQ mode B in IoT NTN (both NB-IoT and eMTC NTN), similarly to NR NTN</w:t>
            </w:r>
          </w:p>
          <w:p>
            <w:pPr>
              <w:pStyle w:val="20"/>
              <w:keepNext w:val="0"/>
              <w:keepLines w:val="0"/>
              <w:widowControl w:val="0"/>
              <w:numPr>
                <w:ilvl w:val="0"/>
                <w:numId w:val="4"/>
              </w:numPr>
              <w:suppressLineNumbers w:val="0"/>
              <w:spacing w:beforeAutospacing="0" w:after="0" w:afterAutospacing="0"/>
              <w:ind w:left="0" w:right="0" w:firstLine="0"/>
              <w:jc w:val="both"/>
              <w:rPr>
                <w:rFonts w:hint="eastAsia"/>
                <w:sz w:val="21"/>
              </w:rPr>
            </w:pPr>
            <w:bookmarkStart w:id="2" w:name="OLE_LINK2"/>
            <w:r>
              <w:rPr>
                <w:rFonts w:hint="default" w:ascii="Times New Roman" w:hAnsi="Times New Roman"/>
                <w:sz w:val="20"/>
              </w:rPr>
              <w:t>From RAN2 perspective, at least for eMTC, enabling/disabling HARQ feedback can be configured per DL HARQ process at least via UE specific RRC signalling</w:t>
            </w:r>
            <w:bookmarkEnd w:id="2"/>
            <w:r>
              <w:rPr>
                <w:rFonts w:hint="default" w:ascii="Times New Roman" w:hAnsi="Times New Roman"/>
                <w:sz w:val="20"/>
              </w:rPr>
              <w:t>. FFS for NB-IoT (and especially for CP solution for NB-IOT).</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p>
        </w:tc>
      </w:tr>
    </w:tbl>
    <w:p>
      <w:pPr>
        <w:pStyle w:val="6"/>
        <w:spacing w:before="120" w:beforeLines="50"/>
        <w:rPr>
          <w:rFonts w:hint="default" w:ascii="Times New Roman" w:hAnsi="Times New Roman" w:eastAsia="宋体" w:cs="Times New Roman"/>
          <w:lang w:val="en-US" w:eastAsia="zh-CN"/>
        </w:rPr>
      </w:pPr>
      <w:r>
        <w:rPr>
          <w:rFonts w:hint="eastAsia" w:ascii="Times New Roman" w:hAnsi="Times New Roman" w:cs="Times New Roman"/>
          <w:sz w:val="21"/>
        </w:rPr>
        <w:t xml:space="preserve">There </w:t>
      </w:r>
      <w:r>
        <w:rPr>
          <w:rFonts w:hint="eastAsia" w:ascii="Times New Roman" w:hAnsi="Times New Roman" w:cs="Times New Roman"/>
          <w:sz w:val="21"/>
          <w:lang w:val="en-US" w:eastAsia="zh-CN"/>
        </w:rPr>
        <w:t>are</w:t>
      </w:r>
      <w:r>
        <w:rPr>
          <w:rFonts w:hint="eastAsia" w:ascii="Times New Roman" w:hAnsi="Times New Roman" w:cs="Times New Roman"/>
          <w:sz w:val="21"/>
        </w:rPr>
        <w:t xml:space="preserve"> still considerable </w:t>
      </w:r>
      <w:r>
        <w:rPr>
          <w:rFonts w:hint="eastAsia" w:ascii="Times New Roman" w:hAnsi="Times New Roman" w:cs="Times New Roman"/>
          <w:sz w:val="21"/>
          <w:lang w:val="en-US" w:eastAsia="zh-CN"/>
        </w:rPr>
        <w:t xml:space="preserve">different views on how to disable DL HARQ feedaback on IoT-NTN especially for NB-IoT NTN. </w:t>
      </w:r>
      <w:r>
        <w:rPr>
          <w:rFonts w:hint="default" w:ascii="Times New Roman" w:hAnsi="Times New Roman" w:cs="Times New Roman"/>
          <w:sz w:val="21"/>
        </w:rPr>
        <w:t>In</w:t>
      </w:r>
      <w:r>
        <w:rPr>
          <w:rFonts w:hint="default" w:ascii="Times New Roman" w:hAnsi="Times New Roman" w:cs="Times New Roman"/>
        </w:rPr>
        <w:t xml:space="preserve"> this contribution</w:t>
      </w:r>
      <w:r>
        <w:rPr>
          <w:rFonts w:hint="default" w:ascii="Times New Roman" w:hAnsi="Times New Roman" w:eastAsia="宋体" w:cs="Times New Roman"/>
          <w:lang w:val="en-US" w:eastAsia="zh-CN"/>
        </w:rPr>
        <w:t>, w</w:t>
      </w:r>
      <w:r>
        <w:rPr>
          <w:rFonts w:hint="default" w:ascii="Times New Roman" w:hAnsi="Times New Roman" w:cs="Times New Roman"/>
        </w:rPr>
        <w:t xml:space="preserve">e provide our views on </w:t>
      </w:r>
      <w:r>
        <w:rPr>
          <w:rFonts w:hint="eastAsia" w:ascii="Times New Roman" w:hAnsi="Times New Roman" w:eastAsia="宋体" w:cs="Times New Roman"/>
          <w:sz w:val="20"/>
          <w:lang w:val="en-US" w:eastAsia="zh-CN"/>
        </w:rPr>
        <w:t>these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pPr>
      <w:r>
        <w:t xml:space="preserve">Discussion </w:t>
      </w:r>
    </w:p>
    <w:p>
      <w:pPr>
        <w:pStyle w:val="3"/>
        <w:numPr>
          <w:ilvl w:val="0"/>
          <w:numId w:val="0"/>
        </w:numPr>
        <w:bidi w:val="0"/>
        <w:ind w:leftChars="0"/>
        <w:rPr>
          <w:lang w:val="en-GB" w:eastAsia="en-GB"/>
        </w:rPr>
      </w:pPr>
      <w:r>
        <w:rPr>
          <w:rFonts w:hint="eastAsia"/>
          <w:lang w:val="en-US" w:eastAsia="zh-CN"/>
        </w:rPr>
        <w:t>2.1 HARQ</w:t>
      </w:r>
      <w:r>
        <w:rPr>
          <w:rFonts w:hint="eastAsia" w:eastAsia="宋体"/>
          <w:lang w:val="en-US" w:eastAsia="zh-CN"/>
        </w:rPr>
        <w:t xml:space="preserve"> </w:t>
      </w:r>
      <w:r>
        <w:t>Enhancements</w:t>
      </w: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In last RAN1#1</w:t>
      </w:r>
      <w:r>
        <w:rPr>
          <w:rFonts w:hint="eastAsia" w:ascii="Times New Roman" w:hAnsi="Times New Roman" w:eastAsia="宋体" w:cs="Times New Roman"/>
          <w:lang w:val="en-US" w:eastAsia="zh-CN"/>
        </w:rPr>
        <w:t>10</w:t>
      </w:r>
      <w:r>
        <w:rPr>
          <w:rFonts w:hint="default" w:ascii="Times New Roman" w:hAnsi="Times New Roman" w:eastAsia="宋体" w:cs="Times New Roman"/>
          <w:lang w:val="en-US" w:eastAsia="zh-CN"/>
        </w:rPr>
        <w:t xml:space="preserve"> meeting, there have been some agreements listed below on d</w:t>
      </w:r>
      <w:r>
        <w:rPr>
          <w:rFonts w:hint="default" w:ascii="Times New Roman" w:hAnsi="Times New Roman" w:cs="Times New Roman"/>
        </w:rPr>
        <w:t>isabling of HARQ feedback</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[2]</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val="0"/>
              <w:suppressLineNumbers w:val="0"/>
              <w:spacing w:beforeAutospacing="0" w:after="0" w:afterAutospacing="0"/>
              <w:ind w:left="0" w:right="0"/>
              <w:jc w:val="both"/>
              <w:rPr>
                <w:rFonts w:hint="eastAsia"/>
                <w:iCs/>
                <w:sz w:val="20"/>
                <w:lang w:val="en-US" w:eastAsia="zh-CN"/>
              </w:rPr>
            </w:pPr>
            <w:r>
              <w:rPr>
                <w:rFonts w:hint="eastAsia"/>
                <w:iCs/>
                <w:sz w:val="20"/>
                <w:highlight w:val="green"/>
                <w:lang w:val="en-US" w:eastAsia="zh-CN"/>
              </w:rPr>
              <w:t>Agreement</w:t>
            </w:r>
          </w:p>
          <w:p>
            <w:pPr>
              <w:keepNext w:val="0"/>
              <w:keepLines w:val="0"/>
              <w:widowControl w:val="0"/>
              <w:suppressLineNumbers w:val="0"/>
              <w:spacing w:beforeAutospacing="0" w:after="0" w:afterAutospacing="0"/>
              <w:ind w:left="0" w:right="0"/>
              <w:jc w:val="both"/>
              <w:rPr>
                <w:rFonts w:hint="eastAsia"/>
                <w:sz w:val="20"/>
                <w:lang w:val="en-US" w:eastAsia="zh-CN"/>
              </w:rPr>
            </w:pPr>
            <w:r>
              <w:rPr>
                <w:rFonts w:hint="eastAsia"/>
                <w:sz w:val="20"/>
                <w:lang w:val="en-US" w:eastAsia="zh-CN"/>
              </w:rPr>
              <w:t>For eMTC NTN, to configure/indicate enabling/disabling of HARQ feedback for downlink transmission, down select one or more from the following options:</w:t>
            </w:r>
          </w:p>
          <w:p>
            <w:pPr>
              <w:keepNext w:val="0"/>
              <w:keepLines w:val="0"/>
              <w:widowControl w:val="0"/>
              <w:numPr>
                <w:ilvl w:val="0"/>
                <w:numId w:val="5"/>
              </w:numPr>
              <w:suppressLineNumbers w:val="0"/>
              <w:spacing w:beforeAutospacing="0" w:after="0" w:afterAutospacing="0"/>
              <w:ind w:right="0"/>
              <w:jc w:val="both"/>
              <w:rPr>
                <w:rFonts w:hint="eastAsia"/>
                <w:sz w:val="20"/>
                <w:lang w:val="en-US" w:eastAsia="zh-CN"/>
              </w:rPr>
            </w:pPr>
            <w:r>
              <w:rPr>
                <w:rFonts w:hint="eastAsia"/>
                <w:sz w:val="20"/>
                <w:lang w:val="en-US" w:eastAsia="zh-CN"/>
              </w:rPr>
              <w:t>Option 1: per HARQ process via UE specific RRC signaling.</w:t>
            </w:r>
          </w:p>
          <w:p>
            <w:pPr>
              <w:keepNext w:val="0"/>
              <w:keepLines w:val="0"/>
              <w:widowControl w:val="0"/>
              <w:numPr>
                <w:ilvl w:val="0"/>
                <w:numId w:val="5"/>
              </w:numPr>
              <w:suppressLineNumbers w:val="0"/>
              <w:spacing w:beforeAutospacing="0" w:after="0" w:afterAutospacing="0"/>
              <w:ind w:right="0"/>
              <w:jc w:val="both"/>
              <w:rPr>
                <w:rFonts w:hint="eastAsia"/>
                <w:sz w:val="20"/>
                <w:lang w:val="en-US" w:eastAsia="zh-CN"/>
              </w:rPr>
            </w:pPr>
            <w:r>
              <w:rPr>
                <w:rFonts w:hint="eastAsia"/>
                <w:sz w:val="20"/>
                <w:lang w:val="en-US" w:eastAsia="zh-CN"/>
              </w:rPr>
              <w:t>Option 3: explicitly indicated by DCI (e.g., new field or reusing existing field).</w:t>
            </w:r>
          </w:p>
          <w:p>
            <w:pPr>
              <w:keepNext w:val="0"/>
              <w:keepLines w:val="0"/>
              <w:widowControl w:val="0"/>
              <w:numPr>
                <w:ilvl w:val="0"/>
                <w:numId w:val="5"/>
              </w:numPr>
              <w:suppressLineNumbers w:val="0"/>
              <w:spacing w:beforeAutospacing="0" w:after="0" w:afterAutospacing="0"/>
              <w:ind w:right="0"/>
              <w:jc w:val="both"/>
              <w:rPr>
                <w:rFonts w:hint="eastAsia"/>
                <w:sz w:val="20"/>
                <w:lang w:val="en-US" w:eastAsia="zh-CN"/>
              </w:rPr>
            </w:pPr>
            <w:r>
              <w:rPr>
                <w:rFonts w:hint="eastAsia"/>
                <w:sz w:val="20"/>
                <w:lang w:val="en-US" w:eastAsia="zh-CN"/>
              </w:rPr>
              <w:t>Option 4: implicitly indicated by existing configured/indicated/combined parameter(s) in the DCI (e.g., repetition number, TBS)</w:t>
            </w:r>
          </w:p>
          <w:p>
            <w:pPr>
              <w:keepNext w:val="0"/>
              <w:keepLines w:val="0"/>
              <w:widowControl w:val="0"/>
              <w:numPr>
                <w:ilvl w:val="0"/>
                <w:numId w:val="5"/>
              </w:numPr>
              <w:suppressLineNumbers w:val="0"/>
              <w:spacing w:beforeAutospacing="0" w:after="0" w:afterAutospacing="0"/>
              <w:ind w:right="0"/>
              <w:jc w:val="both"/>
              <w:rPr>
                <w:rFonts w:hint="eastAsia"/>
                <w:sz w:val="20"/>
                <w:lang w:val="en-US" w:eastAsia="zh-CN"/>
              </w:rPr>
            </w:pPr>
            <w:r>
              <w:rPr>
                <w:rFonts w:hint="eastAsia"/>
                <w:sz w:val="20"/>
                <w:lang w:val="en-US" w:eastAsia="zh-CN"/>
              </w:rPr>
              <w:t>Option 6: combinations of some options above.</w:t>
            </w:r>
          </w:p>
          <w:p>
            <w:pPr>
              <w:keepNext w:val="0"/>
              <w:keepLines w:val="0"/>
              <w:widowControl w:val="0"/>
              <w:suppressLineNumbers w:val="0"/>
              <w:spacing w:beforeAutospacing="0" w:after="0" w:afterAutospacing="0"/>
              <w:ind w:left="0" w:right="0"/>
              <w:jc w:val="both"/>
              <w:rPr>
                <w:rFonts w:hint="eastAsia"/>
                <w:sz w:val="20"/>
                <w:lang w:eastAsia="zh-CN"/>
              </w:rPr>
            </w:pPr>
          </w:p>
          <w:p>
            <w:pPr>
              <w:keepNext w:val="0"/>
              <w:keepLines w:val="0"/>
              <w:widowControl w:val="0"/>
              <w:suppressLineNumbers w:val="0"/>
              <w:spacing w:beforeAutospacing="0" w:after="0" w:afterAutospacing="0"/>
              <w:ind w:left="0" w:right="0"/>
              <w:jc w:val="both"/>
              <w:rPr>
                <w:rFonts w:hint="eastAsia"/>
                <w:iCs/>
                <w:sz w:val="20"/>
                <w:lang w:val="en-US" w:eastAsia="zh-CN"/>
              </w:rPr>
            </w:pPr>
            <w:r>
              <w:rPr>
                <w:rFonts w:hint="eastAsia"/>
                <w:iCs/>
                <w:sz w:val="20"/>
                <w:highlight w:val="green"/>
                <w:lang w:val="en-US" w:eastAsia="zh-CN"/>
              </w:rPr>
              <w:t>Agreement</w:t>
            </w:r>
          </w:p>
          <w:p>
            <w:pPr>
              <w:keepNext w:val="0"/>
              <w:keepLines w:val="0"/>
              <w:widowControl w:val="0"/>
              <w:suppressLineNumbers w:val="0"/>
              <w:spacing w:beforeAutospacing="0" w:after="0" w:afterAutospacing="0"/>
              <w:ind w:left="0" w:right="0"/>
              <w:jc w:val="both"/>
              <w:rPr>
                <w:rFonts w:hint="eastAsia"/>
                <w:sz w:val="20"/>
                <w:lang w:val="en-US" w:eastAsia="zh-CN"/>
              </w:rPr>
            </w:pPr>
            <w:r>
              <w:rPr>
                <w:rFonts w:hint="eastAsia"/>
                <w:sz w:val="20"/>
                <w:lang w:val="en-US" w:eastAsia="zh-CN"/>
              </w:rPr>
              <w:t>For NB-IoT NTN, to configure/indicate enabling/disabling of HARQ feedback for downlink transmission, down select one or more from the following options:</w:t>
            </w:r>
          </w:p>
          <w:p>
            <w:pPr>
              <w:keepNext w:val="0"/>
              <w:keepLines w:val="0"/>
              <w:widowControl w:val="0"/>
              <w:numPr>
                <w:ilvl w:val="0"/>
                <w:numId w:val="6"/>
              </w:numPr>
              <w:suppressLineNumbers w:val="0"/>
              <w:spacing w:beforeAutospacing="0" w:after="0" w:afterAutospacing="0"/>
              <w:ind w:right="0"/>
              <w:jc w:val="both"/>
              <w:rPr>
                <w:rFonts w:hint="eastAsia"/>
                <w:sz w:val="20"/>
                <w:lang w:val="en-US" w:eastAsia="zh-CN"/>
              </w:rPr>
            </w:pPr>
            <w:r>
              <w:rPr>
                <w:rFonts w:hint="eastAsia"/>
                <w:sz w:val="20"/>
                <w:lang w:val="en-US" w:eastAsia="zh-CN"/>
              </w:rPr>
              <w:t>Option 1: per HARQ process via UE specific RRC signaling</w:t>
            </w:r>
          </w:p>
          <w:p>
            <w:pPr>
              <w:keepNext w:val="0"/>
              <w:keepLines w:val="0"/>
              <w:widowControl w:val="0"/>
              <w:numPr>
                <w:ilvl w:val="0"/>
                <w:numId w:val="6"/>
              </w:numPr>
              <w:suppressLineNumbers w:val="0"/>
              <w:spacing w:beforeAutospacing="0" w:after="0" w:afterAutospacing="0"/>
              <w:ind w:right="0"/>
              <w:jc w:val="both"/>
              <w:rPr>
                <w:rFonts w:hint="eastAsia"/>
                <w:sz w:val="20"/>
                <w:lang w:val="en-US" w:eastAsia="zh-CN"/>
              </w:rPr>
            </w:pPr>
            <w:r>
              <w:rPr>
                <w:rFonts w:hint="eastAsia"/>
                <w:sz w:val="20"/>
                <w:lang w:val="en-US" w:eastAsia="zh-CN"/>
              </w:rPr>
              <w:t>Option 3: explicitly indicated by DCI (e.g., new field or reusing existing field)</w:t>
            </w:r>
          </w:p>
          <w:p>
            <w:pPr>
              <w:keepNext w:val="0"/>
              <w:keepLines w:val="0"/>
              <w:widowControl w:val="0"/>
              <w:numPr>
                <w:ilvl w:val="0"/>
                <w:numId w:val="6"/>
              </w:numPr>
              <w:suppressLineNumbers w:val="0"/>
              <w:spacing w:beforeAutospacing="0" w:after="0" w:afterAutospacing="0"/>
              <w:ind w:right="0"/>
              <w:jc w:val="both"/>
              <w:rPr>
                <w:rFonts w:hint="eastAsia"/>
                <w:sz w:val="20"/>
                <w:lang w:val="en-US" w:eastAsia="zh-CN"/>
              </w:rPr>
            </w:pPr>
            <w:r>
              <w:rPr>
                <w:rFonts w:hint="eastAsia"/>
                <w:sz w:val="20"/>
                <w:lang w:val="en-US" w:eastAsia="zh-CN"/>
              </w:rPr>
              <w:t>Option 4: implicitly indicated by existing configured/indicated/combined parameter(s) in the DCI (e.g., repetition number, TBS)</w:t>
            </w:r>
          </w:p>
          <w:p>
            <w:pPr>
              <w:keepNext w:val="0"/>
              <w:keepLines w:val="0"/>
              <w:widowControl w:val="0"/>
              <w:numPr>
                <w:ilvl w:val="0"/>
                <w:numId w:val="6"/>
              </w:numPr>
              <w:suppressLineNumbers w:val="0"/>
              <w:spacing w:beforeAutospacing="0" w:after="0" w:afterAutospacing="0"/>
              <w:ind w:right="0"/>
              <w:jc w:val="both"/>
              <w:rPr>
                <w:rFonts w:hint="eastAsia" w:eastAsia="宋体"/>
                <w:sz w:val="20"/>
                <w:vertAlign w:val="baseline"/>
                <w:lang w:val="en-US" w:eastAsia="zh-CN"/>
              </w:rPr>
            </w:pPr>
            <w:r>
              <w:rPr>
                <w:rFonts w:hint="eastAsia"/>
                <w:sz w:val="20"/>
                <w:lang w:val="en-US" w:eastAsia="zh-CN"/>
              </w:rPr>
              <w:t>Option 6: combinations of some options above</w:t>
            </w:r>
          </w:p>
        </w:tc>
      </w:tr>
    </w:tbl>
    <w:p>
      <w:pPr>
        <w:numPr>
          <w:ilvl w:val="0"/>
          <w:numId w:val="0"/>
        </w:numPr>
        <w:ind w:leftChars="0"/>
        <w:rPr>
          <w:rFonts w:hint="eastAsia" w:eastAsia="宋体"/>
          <w:lang w:val="en-US" w:eastAsia="zh-CN"/>
        </w:rPr>
      </w:pPr>
    </w:p>
    <w:p>
      <w:pPr>
        <w:keepNext w:val="0"/>
        <w:keepLines w:val="0"/>
        <w:pageBreakBefore w:val="0"/>
        <w:widowControl/>
        <w:kinsoku w:val="0"/>
        <w:wordWrap/>
        <w:overflowPunct/>
        <w:topLinePunct w:val="0"/>
        <w:autoSpaceDE/>
        <w:autoSpaceDN/>
        <w:bidi w:val="0"/>
        <w:adjustRightInd/>
        <w:snapToGrid/>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highlight w:val="none"/>
          <w:lang w:val="en-US" w:eastAsia="zh-CN"/>
        </w:rPr>
        <w:t xml:space="preserve">It can be seen from the RAN1 agreements that enabling/disabling of HARQ feedback for downlink transmission for eMTC NTN and NB-IoT NTN is discussed respectively, that means it has a common understanding that eMTC NTN and NB-IoT NTN are quit different in terms of the HARQ aspect(e.g. HARQ process number) and may have different solution. Also </w:t>
      </w:r>
      <w:r>
        <w:rPr>
          <w:rFonts w:hint="eastAsia" w:ascii="Times New Roman" w:hAnsi="Times New Roman" w:eastAsia="宋体"/>
          <w:highlight w:val="none"/>
          <w:lang w:val="en-US" w:eastAsia="zh-CN"/>
        </w:rPr>
        <w:t xml:space="preserve">it has been agreed that </w:t>
      </w:r>
      <w:r>
        <w:rPr>
          <w:rFonts w:hint="eastAsia" w:ascii="Times New Roman" w:hAnsi="Times New Roman" w:cs="Times New Roman"/>
          <w:sz w:val="20"/>
          <w:highlight w:val="none"/>
          <w:lang w:val="en-US" w:eastAsia="zh-CN"/>
        </w:rPr>
        <w:t>f</w:t>
      </w:r>
      <w:r>
        <w:rPr>
          <w:rFonts w:hint="default" w:ascii="Times New Roman" w:hAnsi="Times New Roman"/>
          <w:highlight w:val="none"/>
        </w:rPr>
        <w:t>rom RAN2 perspective, at least for eMTC, enabling/disabling HARQ feedback can be configured per DL HARQ process at least via UE specific RRC signalling</w:t>
      </w:r>
      <w:r>
        <w:rPr>
          <w:rFonts w:hint="eastAsia" w:ascii="Times New Roman" w:hAnsi="Times New Roman" w:eastAsia="宋体"/>
          <w:highlight w:val="none"/>
          <w:lang w:val="en-US" w:eastAsia="zh-CN"/>
        </w:rPr>
        <w:t xml:space="preserve"> which has already been adopted by NR-NTN in R17</w:t>
      </w:r>
      <w:r>
        <w:rPr>
          <w:rFonts w:hint="default" w:ascii="Times New Roman" w:hAnsi="Times New Roman"/>
          <w:highlight w:val="none"/>
        </w:rPr>
        <w:t>.</w:t>
      </w:r>
      <w:r>
        <w:rPr>
          <w:rFonts w:hint="eastAsia" w:ascii="Times New Roman" w:hAnsi="Times New Roman" w:cs="Times New Roman"/>
          <w:sz w:val="20"/>
          <w:highlight w:val="none"/>
          <w:lang w:val="en-US" w:eastAsia="zh-CN"/>
        </w:rPr>
        <w:t xml:space="preserve"> </w:t>
      </w:r>
      <w:r>
        <w:rPr>
          <w:rFonts w:hint="default" w:ascii="Times New Roman" w:hAnsi="Times New Roman" w:cs="Times New Roman"/>
          <w:sz w:val="20"/>
          <w:lang w:val="en-US" w:eastAsia="zh-CN"/>
        </w:rPr>
        <w:t>A</w:t>
      </w:r>
      <w:r>
        <w:rPr>
          <w:rFonts w:hint="eastAsia" w:ascii="Times New Roman" w:hAnsi="Times New Roman" w:cs="Times New Roman"/>
          <w:sz w:val="20"/>
          <w:lang w:val="en-US" w:eastAsia="zh-CN"/>
        </w:rPr>
        <w:t>ccording to</w:t>
      </w:r>
      <w:r>
        <w:rPr>
          <w:rFonts w:hint="default" w:ascii="Times New Roman" w:hAnsi="Times New Roman" w:cs="Times New Roman"/>
          <w:sz w:val="20"/>
          <w:lang w:val="en-US" w:eastAsia="zh-CN"/>
        </w:rPr>
        <w:t xml:space="preserve"> our understanding, the HARQ process of eMTC is more like NR</w:t>
      </w:r>
      <w:r>
        <w:rPr>
          <w:rFonts w:hint="eastAsia" w:ascii="Times New Roman" w:hAnsi="Times New Roman" w:cs="Times New Roman"/>
          <w:sz w:val="20"/>
          <w:lang w:val="en-US" w:eastAsia="zh-CN"/>
        </w:rPr>
        <w:t>,</w:t>
      </w:r>
      <w:r>
        <w:rPr>
          <w:rFonts w:hint="default" w:ascii="Times New Roman" w:hAnsi="Times New Roman" w:cs="Times New Roman"/>
          <w:sz w:val="20"/>
          <w:lang w:val="en-US" w:eastAsia="zh-CN"/>
        </w:rPr>
        <w:t xml:space="preserve"> </w:t>
      </w:r>
      <w:r>
        <w:rPr>
          <w:rFonts w:hint="eastAsia" w:ascii="Times New Roman" w:hAnsi="Times New Roman" w:cs="Times New Roman"/>
          <w:sz w:val="20"/>
          <w:lang w:val="en-US" w:eastAsia="zh-CN"/>
        </w:rPr>
        <w:t>which</w:t>
      </w:r>
      <w:r>
        <w:rPr>
          <w:rFonts w:hint="default" w:ascii="Times New Roman" w:hAnsi="Times New Roman" w:cs="Times New Roman"/>
          <w:sz w:val="20"/>
          <w:lang w:val="en-US" w:eastAsia="zh-CN"/>
        </w:rPr>
        <w:t xml:space="preserve"> supports at most 14 HARQ processes in FDD, so the agreed solution for NR-NTN can be </w:t>
      </w:r>
      <w:r>
        <w:rPr>
          <w:rFonts w:hint="eastAsia" w:ascii="Times New Roman" w:hAnsi="Times New Roman" w:cs="Times New Roman"/>
          <w:sz w:val="20"/>
          <w:lang w:val="en-US" w:eastAsia="zh-CN"/>
        </w:rPr>
        <w:t xml:space="preserve">easily </w:t>
      </w:r>
      <w:r>
        <w:rPr>
          <w:rFonts w:hint="default" w:ascii="Times New Roman" w:hAnsi="Times New Roman" w:cs="Times New Roman"/>
          <w:sz w:val="20"/>
          <w:lang w:val="en-US" w:eastAsia="zh-CN"/>
        </w:rPr>
        <w:t>considered as baseline for eMTC.</w:t>
      </w:r>
      <w:r>
        <w:rPr>
          <w:rFonts w:hint="eastAsia" w:ascii="Times New Roman" w:hAnsi="Times New Roman" w:cs="Times New Roman"/>
          <w:sz w:val="20"/>
          <w:lang w:val="en-US" w:eastAsia="zh-CN"/>
        </w:rPr>
        <w:t xml:space="preserve"> Other aspects like repetition number can be used as a supplement if found needed.</w:t>
      </w:r>
    </w:p>
    <w:p>
      <w:pPr>
        <w:pStyle w:val="17"/>
        <w:numPr>
          <w:ilvl w:val="0"/>
          <w:numId w:val="7"/>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RAN2 to confirm that r</w:t>
      </w:r>
      <w:r>
        <w:rPr>
          <w:rFonts w:hint="default" w:ascii="Times New Roman" w:hAnsi="Times New Roman" w:cs="Times New Roman"/>
          <w:sz w:val="20"/>
          <w:szCs w:val="20"/>
          <w:lang w:val="en-US" w:eastAsia="zh-CN"/>
        </w:rPr>
        <w:t>e-use the solutions introduced in Rel-17 NR NTN</w:t>
      </w:r>
      <w:r>
        <w:rPr>
          <w:rFonts w:hint="eastAsia" w:ascii="Times New Roman" w:hAnsi="Times New Roman" w:cs="Times New Roman"/>
          <w:sz w:val="20"/>
          <w:szCs w:val="20"/>
          <w:lang w:val="en-US" w:eastAsia="zh-CN"/>
        </w:rPr>
        <w:t xml:space="preserve">, i.e. </w:t>
      </w:r>
      <w:r>
        <w:rPr>
          <w:rFonts w:hint="default" w:ascii="Times New Roman" w:hAnsi="Times New Roman" w:cs="Times New Roman"/>
          <w:sz w:val="20"/>
          <w:szCs w:val="20"/>
          <w:lang w:val="en-US" w:eastAsia="zh-CN"/>
        </w:rPr>
        <w:t xml:space="preserve">per HARQ process via UE specific RRC signaling on HARQ feedback </w:t>
      </w:r>
      <w:r>
        <w:rPr>
          <w:rFonts w:hint="default" w:ascii="Times New Roman" w:hAnsi="Times New Roman" w:cs="Times New Roman"/>
          <w:szCs w:val="20"/>
          <w:lang w:eastAsia="zh-CN"/>
        </w:rPr>
        <w:t>enabling/disabling</w:t>
      </w:r>
      <w:r>
        <w:rPr>
          <w:rFonts w:hint="default" w:ascii="Times New Roman" w:hAnsi="Times New Roman" w:cs="Times New Roman"/>
          <w:sz w:val="20"/>
          <w:szCs w:val="20"/>
          <w:lang w:val="en-US" w:eastAsia="zh-CN"/>
        </w:rPr>
        <w:t xml:space="preserve"> for downlink transmission</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for eMTC </w:t>
      </w:r>
      <w:r>
        <w:rPr>
          <w:rFonts w:hint="eastAsia" w:ascii="Times New Roman" w:hAnsi="Times New Roman" w:cs="Times New Roman"/>
          <w:sz w:val="20"/>
          <w:szCs w:val="20"/>
          <w:lang w:val="en-US" w:eastAsia="zh-CN"/>
        </w:rPr>
        <w:t>NTN</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other aspects can be considered as a supplement if found needed.</w:t>
      </w:r>
    </w:p>
    <w:p>
      <w:pPr>
        <w:keepNext w:val="0"/>
        <w:keepLines w:val="0"/>
        <w:pageBreakBefore w:val="0"/>
        <w:widowControl/>
        <w:kinsoku w:val="0"/>
        <w:wordWrap/>
        <w:overflowPunct/>
        <w:topLinePunct w:val="0"/>
        <w:autoSpaceDE/>
        <w:autoSpaceDN/>
        <w:bidi w:val="0"/>
        <w:adjustRightInd/>
        <w:snapToGrid/>
        <w:jc w:val="both"/>
        <w:textAlignment w:val="auto"/>
        <w:rPr>
          <w:rFonts w:hint="default" w:ascii="Times New Roman" w:hAnsi="Times New Roman" w:cs="Times New Roman"/>
          <w:sz w:val="20"/>
          <w:lang w:val="en-US" w:eastAsia="zh-CN"/>
        </w:rPr>
      </w:pPr>
    </w:p>
    <w:p>
      <w:pPr>
        <w:keepNext w:val="0"/>
        <w:keepLines w:val="0"/>
        <w:pageBreakBefore w:val="0"/>
        <w:widowControl/>
        <w:kinsoku w:val="0"/>
        <w:wordWrap/>
        <w:overflowPunct/>
        <w:topLinePunct w:val="0"/>
        <w:autoSpaceDE/>
        <w:autoSpaceDN/>
        <w:bidi w:val="0"/>
        <w:adjustRightInd/>
        <w:snapToGrid/>
        <w:jc w:val="both"/>
        <w:textAlignment w:val="auto"/>
        <w:rPr>
          <w:rFonts w:hint="eastAsia" w:ascii="Times New Roman" w:hAnsi="Times New Roman" w:cs="Times New Roman"/>
          <w:sz w:val="20"/>
          <w:highlight w:val="none"/>
          <w:lang w:val="en-US" w:eastAsia="zh-CN"/>
        </w:rPr>
      </w:pPr>
      <w:r>
        <w:rPr>
          <w:rFonts w:hint="eastAsia" w:ascii="Times New Roman" w:hAnsi="Times New Roman" w:cs="Times New Roman"/>
          <w:sz w:val="20"/>
          <w:lang w:val="en-US" w:eastAsia="zh-CN"/>
        </w:rPr>
        <w:t>As f</w:t>
      </w:r>
      <w:r>
        <w:rPr>
          <w:rFonts w:hint="default" w:ascii="Times New Roman" w:hAnsi="Times New Roman" w:cs="Times New Roman"/>
          <w:sz w:val="20"/>
          <w:lang w:val="en-US" w:eastAsia="zh-CN"/>
        </w:rPr>
        <w:t>or NB-IoT, to reduce cost and complexity it supports at most 2 HARQ processes(only when the UE supports</w:t>
      </w:r>
      <w:r>
        <w:rPr>
          <w:rFonts w:hint="eastAsia" w:ascii="Times New Roman" w:hAnsi="Times New Roman" w:cs="Times New Roman"/>
          <w:sz w:val="20"/>
          <w:lang w:val="en-US" w:eastAsia="zh-CN"/>
        </w:rPr>
        <w:t xml:space="preserve"> </w:t>
      </w:r>
      <w:r>
        <w:rPr>
          <w:rFonts w:hint="default" w:ascii="Times New Roman" w:hAnsi="Times New Roman" w:cs="Times New Roman"/>
          <w:sz w:val="20"/>
          <w:lang w:eastAsia="ja-JP"/>
        </w:rPr>
        <w:t xml:space="preserve">twoHARQ-Processes-r14 or the UE is configured with </w:t>
      </w:r>
      <w:r>
        <w:rPr>
          <w:rFonts w:hint="default" w:ascii="Times New Roman" w:hAnsi="Times New Roman" w:cs="Times New Roman"/>
          <w:sz w:val="20"/>
        </w:rPr>
        <w:t>higher layer parameter npdsch-MultiTB-Config</w:t>
      </w:r>
      <w:r>
        <w:rPr>
          <w:rFonts w:hint="default" w:ascii="Times New Roman" w:hAnsi="Times New Roman" w:cs="Times New Roman"/>
          <w:sz w:val="20"/>
          <w:lang w:val="en-US" w:eastAsia="zh-CN"/>
        </w:rPr>
        <w:t>)</w:t>
      </w:r>
      <w:r>
        <w:rPr>
          <w:rFonts w:hint="eastAsia" w:ascii="Times New Roman" w:hAnsi="Times New Roman" w:cs="Times New Roman"/>
          <w:sz w:val="20"/>
          <w:lang w:val="en-US" w:eastAsia="zh-CN"/>
        </w:rPr>
        <w:t>.</w:t>
      </w:r>
      <w:r>
        <w:rPr>
          <w:rFonts w:hint="default" w:ascii="Times New Roman" w:hAnsi="Times New Roman" w:cs="Times New Roman"/>
          <w:sz w:val="20"/>
          <w:lang w:val="en-US" w:eastAsia="zh-CN"/>
        </w:rPr>
        <w:t xml:space="preserve"> </w:t>
      </w:r>
      <w:r>
        <w:rPr>
          <w:rFonts w:hint="eastAsia" w:ascii="Times New Roman" w:hAnsi="Times New Roman" w:cs="Times New Roman"/>
          <w:sz w:val="20"/>
          <w:highlight w:val="none"/>
          <w:lang w:val="en-US" w:eastAsia="zh-CN"/>
        </w:rPr>
        <w:t xml:space="preserve">And for NB-IoT UEs, it only supports Control Plane CIoT EPS/5GS optimization, and does not support </w:t>
      </w:r>
      <w:r>
        <w:rPr>
          <w:rFonts w:hint="default" w:ascii="Times New Roman" w:hAnsi="Times New Roman" w:cs="Times New Roman"/>
          <w:sz w:val="20"/>
          <w:highlight w:val="none"/>
          <w:lang w:val="en-US" w:eastAsia="zh-CN"/>
        </w:rPr>
        <w:t>RRC connection reconfiguration</w:t>
      </w:r>
      <w:r>
        <w:rPr>
          <w:rFonts w:hint="eastAsia" w:ascii="Times New Roman" w:hAnsi="Times New Roman" w:cs="Times New Roman"/>
          <w:sz w:val="20"/>
          <w:highlight w:val="none"/>
          <w:lang w:val="en-US" w:eastAsia="zh-CN"/>
        </w:rPr>
        <w:t>. S</w:t>
      </w:r>
      <w:r>
        <w:rPr>
          <w:rFonts w:hint="default" w:ascii="Times New Roman" w:hAnsi="Times New Roman" w:cs="Times New Roman"/>
          <w:sz w:val="20"/>
          <w:highlight w:val="none"/>
          <w:lang w:val="en-US" w:eastAsia="zh-CN"/>
        </w:rPr>
        <w:t xml:space="preserve">o </w:t>
      </w:r>
      <w:r>
        <w:rPr>
          <w:rFonts w:hint="default" w:ascii="Times New Roman" w:hAnsi="Times New Roman" w:cs="Times New Roman"/>
          <w:sz w:val="20"/>
          <w:highlight w:val="none"/>
          <w:lang w:eastAsia="zh-CN"/>
        </w:rPr>
        <w:t>enabling/disabling</w:t>
      </w:r>
      <w:r>
        <w:rPr>
          <w:rFonts w:hint="default" w:ascii="Times New Roman" w:hAnsi="Times New Roman" w:cs="Times New Roman"/>
          <w:sz w:val="20"/>
          <w:highlight w:val="none"/>
          <w:lang w:val="en-US" w:eastAsia="zh-CN"/>
        </w:rPr>
        <w:t xml:space="preserve"> HARQ feedback per HARQ process may not</w:t>
      </w:r>
      <w:r>
        <w:rPr>
          <w:rFonts w:hint="eastAsia" w:ascii="Times New Roman" w:hAnsi="Times New Roman" w:cs="Times New Roman"/>
          <w:sz w:val="20"/>
          <w:highlight w:val="none"/>
          <w:lang w:val="en-US" w:eastAsia="zh-CN"/>
        </w:rPr>
        <w:t xml:space="preserve"> be</w:t>
      </w:r>
      <w:r>
        <w:rPr>
          <w:rFonts w:hint="default" w:ascii="Times New Roman" w:hAnsi="Times New Roman" w:cs="Times New Roman"/>
          <w:sz w:val="20"/>
          <w:highlight w:val="none"/>
          <w:lang w:val="en-US" w:eastAsia="zh-CN"/>
        </w:rPr>
        <w:t xml:space="preserve"> suitable for NB-IoT</w:t>
      </w:r>
      <w:r>
        <w:rPr>
          <w:rFonts w:hint="eastAsia" w:ascii="Times New Roman" w:hAnsi="Times New Roman" w:cs="Times New Roman"/>
          <w:sz w:val="20"/>
          <w:highlight w:val="none"/>
          <w:lang w:val="en-US" w:eastAsia="zh-CN"/>
        </w:rPr>
        <w:t xml:space="preserve"> as there maybe only 1 HARQ process or </w:t>
      </w:r>
      <w:r>
        <w:rPr>
          <w:rFonts w:hint="default" w:ascii="Times New Roman" w:hAnsi="Times New Roman" w:cs="Times New Roman"/>
          <w:sz w:val="20"/>
          <w:highlight w:val="none"/>
          <w:lang w:val="en-US" w:eastAsia="zh-CN"/>
        </w:rPr>
        <w:t>RRC connection reconfiguration is not supported.</w:t>
      </w:r>
      <w:r>
        <w:rPr>
          <w:rFonts w:hint="eastAsia" w:ascii="Times New Roman" w:hAnsi="Times New Roman" w:cs="Times New Roman"/>
          <w:sz w:val="20"/>
          <w:highlight w:val="none"/>
          <w:lang w:val="en-US" w:eastAsia="zh-CN"/>
        </w:rPr>
        <w:t xml:space="preserve"> So different solutions needed to be considered for NB-IoT NTN.</w:t>
      </w:r>
    </w:p>
    <w:p>
      <w:pPr>
        <w:pStyle w:val="17"/>
        <w:numPr>
          <w:ilvl w:val="0"/>
          <w:numId w:val="7"/>
        </w:numPr>
        <w:overflowPunct/>
        <w:autoSpaceDE/>
        <w:autoSpaceDN/>
        <w:adjustRightInd/>
        <w:spacing w:line="259" w:lineRule="auto"/>
        <w:jc w:val="both"/>
        <w:textAlignment w:val="auto"/>
        <w:rPr>
          <w:rFonts w:hint="eastAsia" w:ascii="Times New Roman" w:hAnsi="Times New Roman" w:cs="Times New Roman"/>
          <w:sz w:val="20"/>
          <w:highlight w:val="none"/>
          <w:lang w:val="en-US" w:eastAsia="zh-CN"/>
        </w:rPr>
      </w:pPr>
      <w:r>
        <w:rPr>
          <w:rFonts w:hint="eastAsia" w:ascii="Times New Roman" w:hAnsi="Times New Roman" w:cs="Times New Roman"/>
          <w:sz w:val="20"/>
          <w:szCs w:val="20"/>
          <w:highlight w:val="none"/>
          <w:lang w:val="en-US" w:eastAsia="zh-CN"/>
        </w:rPr>
        <w:t>RAN2 to confirm that different solutions needed to be considered for NB-IoT NTN for disabling of HARQ feedback for downlink transmission.</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cs="Times New Roman"/>
          <w:sz w:val="20"/>
          <w:lang w:val="en-US" w:eastAsia="zh-CN"/>
        </w:rPr>
      </w:pPr>
    </w:p>
    <w:p>
      <w:pPr>
        <w:keepNext w:val="0"/>
        <w:keepLines w:val="0"/>
        <w:pageBreakBefore w:val="0"/>
        <w:widowControl/>
        <w:kinsoku w:val="0"/>
        <w:wordWrap/>
        <w:overflowPunct/>
        <w:topLinePunct w:val="0"/>
        <w:autoSpaceDE/>
        <w:autoSpaceDN/>
        <w:bidi w:val="0"/>
        <w:adjustRightInd/>
        <w:snapToGrid/>
        <w:jc w:val="both"/>
        <w:textAlignment w:val="auto"/>
        <w:rPr>
          <w:rFonts w:hint="default" w:eastAsia="宋体"/>
          <w:lang w:val="en-US" w:eastAsia="zh-CN"/>
        </w:rPr>
      </w:pPr>
      <w:r>
        <w:rPr>
          <w:rFonts w:hint="eastAsia" w:ascii="Times New Roman" w:hAnsi="Times New Roman" w:cs="Times New Roman"/>
          <w:sz w:val="20"/>
          <w:lang w:val="en-US" w:eastAsia="zh-CN"/>
        </w:rPr>
        <w:t>Repetition transmission has been introduced for NB-IoT to enhance coverage. As repetition is some kind of downlink retransmission and UE ensures the reliability of downlink transmission by merging all repetition demodulations. In the same channel condition, the higher repetition is, the better the reliability is. Therefore, NW can decide whether to disable HARQ feedback based on the downlink scheduled repetitions. On the other hand, the HARQ stalling in NTN is caused by the long propagation time between the UE and the eNB. The long propagation time of UE is reflected in the parameter Koffset which is UE specific and adjusted by NW, if the propagation time is not long then the HARQ stalling may not exists, so the Koffset can be a factor to decide whether enable/disable HARQ feedback.</w:t>
      </w:r>
    </w:p>
    <w:p>
      <w:pPr>
        <w:pStyle w:val="17"/>
        <w:numPr>
          <w:ilvl w:val="0"/>
          <w:numId w:val="7"/>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Downlink repetition or Koffset can be used to indicate enabling/disabling of HARQ feedback for downlink transmission for NB-IoT NTN.</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ascii="Times New Roman" w:hAnsi="Times New Roman" w:cs="Times New Roman"/>
          <w:sz w:val="20"/>
          <w:szCs w:val="20"/>
          <w:lang w:val="en-US" w:eastAsia="zh-CN"/>
        </w:rPr>
      </w:pP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ascii="Times New Roman" w:hAnsi="Times New Roman" w:eastAsia="宋体"/>
          <w:highlight w:val="none"/>
          <w:lang w:val="en-US" w:eastAsia="zh-CN"/>
        </w:rPr>
      </w:pPr>
      <w:r>
        <w:rPr>
          <w:rFonts w:hint="eastAsia" w:ascii="Times New Roman" w:hAnsi="Times New Roman" w:cs="Times New Roman"/>
          <w:sz w:val="20"/>
          <w:szCs w:val="20"/>
          <w:highlight w:val="none"/>
          <w:lang w:val="en-US" w:eastAsia="zh-CN"/>
        </w:rPr>
        <w:t xml:space="preserve">For UL HARQ operation, it has been agreed in last RAN2 meeting that </w:t>
      </w:r>
      <w:r>
        <w:rPr>
          <w:rFonts w:hint="default" w:ascii="Times New Roman" w:hAnsi="Times New Roman"/>
          <w:highlight w:val="none"/>
        </w:rPr>
        <w:t>introduce two HARQ modes, i.e., HARQ mode A and HARQ mode B in IoT NTN (both NB-IoT and eMTC NTN), similarly to NR NTN</w:t>
      </w:r>
      <w:r>
        <w:rPr>
          <w:rFonts w:hint="eastAsia" w:ascii="Times New Roman" w:hAnsi="Times New Roman" w:eastAsia="宋体"/>
          <w:highlight w:val="none"/>
          <w:lang w:val="en-US" w:eastAsia="zh-CN"/>
        </w:rPr>
        <w:t>. In Rel-17 NR NTN, network could further configure the allowed HARQ mode on each logical channel through the LCP restriction procedure. In this way, UL logical channel with different QoS requirement can be mapped to HARQ processes with different HARQ mode. However LCP restriction is not supported by NB-IoT and eMTC, and the UE can</w:t>
      </w:r>
      <w:r>
        <w:rPr>
          <w:rFonts w:hint="default" w:ascii="Times New Roman" w:hAnsi="Times New Roman" w:eastAsia="宋体"/>
          <w:highlight w:val="none"/>
          <w:lang w:val="en-US" w:eastAsia="zh-CN"/>
        </w:rPr>
        <w:t>’</w:t>
      </w:r>
      <w:r>
        <w:rPr>
          <w:rFonts w:hint="eastAsia" w:ascii="Times New Roman" w:hAnsi="Times New Roman" w:eastAsia="宋体"/>
          <w:highlight w:val="none"/>
          <w:lang w:val="en-US" w:eastAsia="zh-CN"/>
        </w:rPr>
        <w:t>t know how to map logical channel to which HARQ mode. However we don</w:t>
      </w:r>
      <w:r>
        <w:rPr>
          <w:rFonts w:hint="default" w:ascii="Times New Roman" w:hAnsi="Times New Roman" w:eastAsia="宋体"/>
          <w:highlight w:val="none"/>
          <w:lang w:val="en-US" w:eastAsia="zh-CN"/>
        </w:rPr>
        <w:t>’</w:t>
      </w:r>
      <w:r>
        <w:rPr>
          <w:rFonts w:hint="eastAsia" w:ascii="Times New Roman" w:hAnsi="Times New Roman" w:eastAsia="宋体"/>
          <w:highlight w:val="none"/>
          <w:lang w:val="en-US" w:eastAsia="zh-CN"/>
        </w:rPr>
        <w:t>t suggest to introduce the LCP restriction for IoT NTN as this brings complexity to uplink LCP procedure. RAN2 needs to discuss how to map logical channel to which HARQ mode for IoT-NTN.</w:t>
      </w:r>
    </w:p>
    <w:p>
      <w:pPr>
        <w:pStyle w:val="17"/>
        <w:numPr>
          <w:ilvl w:val="0"/>
          <w:numId w:val="7"/>
        </w:numPr>
        <w:overflowPunct/>
        <w:autoSpaceDE/>
        <w:autoSpaceDN/>
        <w:adjustRightInd/>
        <w:spacing w:line="259" w:lineRule="auto"/>
        <w:jc w:val="both"/>
        <w:textAlignment w:val="auto"/>
        <w:rPr>
          <w:rFonts w:hint="default" w:ascii="Times New Roman" w:hAnsi="Times New Roman" w:cs="Times New Roman"/>
          <w:sz w:val="20"/>
          <w:szCs w:val="20"/>
          <w:highlight w:val="none"/>
          <w:lang w:val="en-US" w:eastAsia="zh-CN"/>
        </w:rPr>
      </w:pPr>
      <w:r>
        <w:rPr>
          <w:rFonts w:hint="eastAsia" w:ascii="Times New Roman" w:hAnsi="Times New Roman" w:eastAsia="宋体"/>
          <w:highlight w:val="none"/>
          <w:lang w:val="en-US" w:eastAsia="zh-CN"/>
        </w:rPr>
        <w:t>RAN2 needs to discuss how to map logical channel to which HARQ mode(</w:t>
      </w:r>
      <w:r>
        <w:rPr>
          <w:rFonts w:hint="default" w:ascii="Times New Roman" w:hAnsi="Times New Roman"/>
          <w:highlight w:val="none"/>
        </w:rPr>
        <w:t>i.e., HARQ mode A and HARQ mode B</w:t>
      </w:r>
      <w:r>
        <w:rPr>
          <w:rFonts w:hint="eastAsia" w:ascii="Times New Roman" w:hAnsi="Times New Roman" w:eastAsia="宋体"/>
          <w:highlight w:val="none"/>
          <w:lang w:val="en-US" w:eastAsia="zh-CN"/>
        </w:rPr>
        <w:t>) for IoT-NTN.</w:t>
      </w:r>
    </w:p>
    <w:p>
      <w:pPr>
        <w:pStyle w:val="17"/>
        <w:numPr>
          <w:ilvl w:val="0"/>
          <w:numId w:val="0"/>
        </w:numPr>
        <w:overflowPunct/>
        <w:autoSpaceDE/>
        <w:autoSpaceDN/>
        <w:adjustRightInd/>
        <w:spacing w:before="40" w:line="259" w:lineRule="auto"/>
        <w:jc w:val="both"/>
        <w:textAlignment w:val="auto"/>
        <w:rPr>
          <w:highlight w:val="gree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disabling of HARQ feedback</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17"/>
        <w:numPr>
          <w:ilvl w:val="0"/>
          <w:numId w:val="8"/>
        </w:numPr>
        <w:overflowPunct/>
        <w:autoSpaceDE/>
        <w:autoSpaceDN/>
        <w:adjustRightInd/>
        <w:spacing w:line="259" w:lineRule="auto"/>
        <w:ind w:left="1304" w:leftChars="0" w:hanging="1304"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RAN2 to confirm that r</w:t>
      </w:r>
      <w:r>
        <w:rPr>
          <w:rFonts w:hint="default" w:ascii="Times New Roman" w:hAnsi="Times New Roman" w:cs="Times New Roman"/>
          <w:sz w:val="20"/>
          <w:szCs w:val="20"/>
          <w:lang w:val="en-US" w:eastAsia="zh-CN"/>
        </w:rPr>
        <w:t>e-use the solutions introduced in Rel-17 NR NTN</w:t>
      </w:r>
      <w:r>
        <w:rPr>
          <w:rFonts w:hint="eastAsia" w:ascii="Times New Roman" w:hAnsi="Times New Roman" w:cs="Times New Roman"/>
          <w:sz w:val="20"/>
          <w:szCs w:val="20"/>
          <w:lang w:val="en-US" w:eastAsia="zh-CN"/>
        </w:rPr>
        <w:t xml:space="preserve">, i.e. </w:t>
      </w:r>
      <w:r>
        <w:rPr>
          <w:rFonts w:hint="default" w:ascii="Times New Roman" w:hAnsi="Times New Roman" w:cs="Times New Roman"/>
          <w:sz w:val="20"/>
          <w:szCs w:val="20"/>
          <w:lang w:val="en-US" w:eastAsia="zh-CN"/>
        </w:rPr>
        <w:t xml:space="preserve">per HARQ process via UE specific RRC signaling on HARQ feedback </w:t>
      </w:r>
      <w:r>
        <w:rPr>
          <w:rFonts w:hint="default" w:ascii="Times New Roman" w:hAnsi="Times New Roman" w:cs="Times New Roman"/>
          <w:szCs w:val="20"/>
          <w:lang w:eastAsia="zh-CN"/>
        </w:rPr>
        <w:t>enabling/disabling</w:t>
      </w:r>
      <w:r>
        <w:rPr>
          <w:rFonts w:hint="default" w:ascii="Times New Roman" w:hAnsi="Times New Roman" w:cs="Times New Roman"/>
          <w:sz w:val="20"/>
          <w:szCs w:val="20"/>
          <w:lang w:val="en-US" w:eastAsia="zh-CN"/>
        </w:rPr>
        <w:t xml:space="preserve"> for downlink transmission</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for eMTC </w:t>
      </w:r>
      <w:r>
        <w:rPr>
          <w:rFonts w:hint="eastAsia" w:ascii="Times New Roman" w:hAnsi="Times New Roman" w:cs="Times New Roman"/>
          <w:sz w:val="20"/>
          <w:szCs w:val="20"/>
          <w:lang w:val="en-US" w:eastAsia="zh-CN"/>
        </w:rPr>
        <w:t>NTN</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other aspects can be considered as a supplement if found needed.</w:t>
      </w:r>
    </w:p>
    <w:p>
      <w:pPr>
        <w:pStyle w:val="17"/>
        <w:numPr>
          <w:ilvl w:val="0"/>
          <w:numId w:val="8"/>
        </w:numPr>
        <w:overflowPunct/>
        <w:autoSpaceDE/>
        <w:autoSpaceDN/>
        <w:adjustRightInd/>
        <w:spacing w:line="259" w:lineRule="auto"/>
        <w:ind w:left="1304" w:leftChars="0" w:hanging="1304" w:firstLineChars="0"/>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szCs w:val="20"/>
          <w:lang w:val="en-US" w:eastAsia="zh-CN"/>
        </w:rPr>
        <w:t>RAN2 to confirm that different solutions needed to be considered for NB-IoT NTN for disabling of HARQ feedback for downlink transmission.</w:t>
      </w:r>
    </w:p>
    <w:p>
      <w:pPr>
        <w:pStyle w:val="17"/>
        <w:numPr>
          <w:ilvl w:val="0"/>
          <w:numId w:val="8"/>
        </w:numPr>
        <w:overflowPunct/>
        <w:autoSpaceDE/>
        <w:autoSpaceDN/>
        <w:adjustRightInd/>
        <w:spacing w:line="259" w:lineRule="auto"/>
        <w:ind w:left="1304" w:leftChars="0" w:hanging="1304"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Downlink repetition or Koffset can be used to indicate enabling/disabling of HARQ feedback for downlink transmission for NB-IoT NTN.</w:t>
      </w:r>
    </w:p>
    <w:p>
      <w:pPr>
        <w:pStyle w:val="17"/>
        <w:numPr>
          <w:ilvl w:val="0"/>
          <w:numId w:val="8"/>
        </w:numPr>
        <w:overflowPunct/>
        <w:autoSpaceDE/>
        <w:autoSpaceDN/>
        <w:adjustRightInd/>
        <w:spacing w:line="259" w:lineRule="auto"/>
        <w:ind w:left="1304" w:leftChars="0" w:hanging="1304" w:firstLineChars="0"/>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eastAsia" w:ascii="Times New Roman" w:hAnsi="Times New Roman" w:eastAsia="宋体"/>
          <w:lang w:val="en-US" w:eastAsia="zh-CN"/>
        </w:rPr>
        <w:t>RAN2 needs to discuss how to map logical channel to which HARQ mode(</w:t>
      </w:r>
      <w:r>
        <w:rPr>
          <w:rFonts w:hint="default" w:ascii="Times New Roman" w:hAnsi="Times New Roman"/>
        </w:rPr>
        <w:t>i.e., HARQ mode A and HARQ mode B</w:t>
      </w:r>
      <w:r>
        <w:rPr>
          <w:rFonts w:hint="eastAsia" w:ascii="Times New Roman" w:hAnsi="Times New Roman" w:eastAsia="宋体"/>
          <w:lang w:val="en-US" w:eastAsia="zh-CN"/>
        </w:rPr>
        <w:t>) for IoT-NTN.</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9"/>
        </w:numPr>
        <w:spacing w:after="0"/>
        <w:jc w:val="both"/>
        <w:rPr>
          <w:rFonts w:cs="Arial"/>
          <w:sz w:val="22"/>
          <w:szCs w:val="22"/>
        </w:rPr>
      </w:pPr>
      <w:r>
        <w:rPr>
          <w:rFonts w:cs="Arial"/>
          <w:sz w:val="22"/>
          <w:szCs w:val="22"/>
        </w:rPr>
        <w:t xml:space="preserve"> “</w:t>
      </w:r>
      <w:r>
        <w:rPr>
          <w:rFonts w:hint="eastAsia" w:cs="Arial"/>
          <w:sz w:val="22"/>
          <w:szCs w:val="22"/>
        </w:rPr>
        <w:t>R2_119-e_meeting_report_v1.docx</w:t>
      </w:r>
      <w:r>
        <w:rPr>
          <w:rFonts w:cs="Arial"/>
          <w:sz w:val="22"/>
          <w:szCs w:val="22"/>
        </w:rPr>
        <w:t>”</w:t>
      </w:r>
    </w:p>
    <w:p>
      <w:pPr>
        <w:pStyle w:val="6"/>
        <w:numPr>
          <w:ilvl w:val="0"/>
          <w:numId w:val="9"/>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“Draft_Minutes_report_RAN1#110_v020.docx”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variable"/>
    <w:sig w:usb0="E4002EFF" w:usb1="C000E47F"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752CE6"/>
    <w:multiLevelType w:val="singleLevel"/>
    <w:tmpl w:val="9D752CE6"/>
    <w:lvl w:ilvl="0" w:tentative="0">
      <w:start w:val="1"/>
      <w:numFmt w:val="decimal"/>
      <w:suff w:val="space"/>
      <w:lvlText w:val="%1."/>
      <w:lvlJc w:val="left"/>
      <w:rPr>
        <w:rFonts w:hint="default" w:ascii="Times New Roman" w:hAnsi="Times New Roman" w:cs="Times New Roman"/>
        <w:b w:val="0"/>
        <w:bCs w:val="0"/>
      </w:rPr>
    </w:lvl>
  </w:abstractNum>
  <w:abstractNum w:abstractNumId="1">
    <w:nsid w:val="FC6E31A8"/>
    <w:multiLevelType w:val="multilevel"/>
    <w:tmpl w:val="FC6E31A8"/>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4B80DE9"/>
    <w:multiLevelType w:val="multilevel"/>
    <w:tmpl w:val="14B80DE9"/>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C92DCD"/>
    <w:multiLevelType w:val="multilevel"/>
    <w:tmpl w:val="43C92DC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7">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6"/>
  </w:num>
  <w:num w:numId="3">
    <w:abstractNumId w:val="7"/>
  </w:num>
  <w:num w:numId="4">
    <w:abstractNumId w:val="0"/>
  </w:num>
  <w:num w:numId="5">
    <w:abstractNumId w:val="3"/>
  </w:num>
  <w:num w:numId="6">
    <w:abstractNumId w:val="5"/>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4BA00BC"/>
    <w:rsid w:val="05A17499"/>
    <w:rsid w:val="05F02177"/>
    <w:rsid w:val="06AD14D1"/>
    <w:rsid w:val="074434AD"/>
    <w:rsid w:val="077E1DF5"/>
    <w:rsid w:val="07B47951"/>
    <w:rsid w:val="08705469"/>
    <w:rsid w:val="0871778C"/>
    <w:rsid w:val="09242B66"/>
    <w:rsid w:val="09AA20D3"/>
    <w:rsid w:val="09C8159B"/>
    <w:rsid w:val="0A083CCF"/>
    <w:rsid w:val="0A296EBB"/>
    <w:rsid w:val="0C480592"/>
    <w:rsid w:val="0C8B3F6C"/>
    <w:rsid w:val="0CD62152"/>
    <w:rsid w:val="0CDF38AA"/>
    <w:rsid w:val="0D701E08"/>
    <w:rsid w:val="0DAF7C6F"/>
    <w:rsid w:val="0F054467"/>
    <w:rsid w:val="0F555789"/>
    <w:rsid w:val="0F711142"/>
    <w:rsid w:val="0F846F16"/>
    <w:rsid w:val="10664121"/>
    <w:rsid w:val="10D97A01"/>
    <w:rsid w:val="110E3FBC"/>
    <w:rsid w:val="1259446D"/>
    <w:rsid w:val="12CA4226"/>
    <w:rsid w:val="12E45FD6"/>
    <w:rsid w:val="134C4354"/>
    <w:rsid w:val="13D7274C"/>
    <w:rsid w:val="142030D3"/>
    <w:rsid w:val="151764BF"/>
    <w:rsid w:val="166A6E0A"/>
    <w:rsid w:val="16FF7648"/>
    <w:rsid w:val="172B15A5"/>
    <w:rsid w:val="17AE7B7C"/>
    <w:rsid w:val="18891BE5"/>
    <w:rsid w:val="18B70FF6"/>
    <w:rsid w:val="18C4408C"/>
    <w:rsid w:val="19033124"/>
    <w:rsid w:val="190C3624"/>
    <w:rsid w:val="192B61EE"/>
    <w:rsid w:val="19FC3902"/>
    <w:rsid w:val="1B166347"/>
    <w:rsid w:val="1B4F2E04"/>
    <w:rsid w:val="1B7F05AA"/>
    <w:rsid w:val="1D5C422C"/>
    <w:rsid w:val="1D72553F"/>
    <w:rsid w:val="1DB61295"/>
    <w:rsid w:val="1E837BE2"/>
    <w:rsid w:val="1EDC7743"/>
    <w:rsid w:val="1FF75154"/>
    <w:rsid w:val="1FF92ED0"/>
    <w:rsid w:val="21272772"/>
    <w:rsid w:val="217D10FE"/>
    <w:rsid w:val="218C3C37"/>
    <w:rsid w:val="21A54F1D"/>
    <w:rsid w:val="21DC5F44"/>
    <w:rsid w:val="22A436E7"/>
    <w:rsid w:val="22ED4EA9"/>
    <w:rsid w:val="2307366B"/>
    <w:rsid w:val="2311372E"/>
    <w:rsid w:val="23313175"/>
    <w:rsid w:val="253A0CB4"/>
    <w:rsid w:val="253F3B36"/>
    <w:rsid w:val="255A0D1D"/>
    <w:rsid w:val="258E2521"/>
    <w:rsid w:val="25BC78D5"/>
    <w:rsid w:val="25C95136"/>
    <w:rsid w:val="25DF25F3"/>
    <w:rsid w:val="2653352F"/>
    <w:rsid w:val="26F5334E"/>
    <w:rsid w:val="27264053"/>
    <w:rsid w:val="273F71A1"/>
    <w:rsid w:val="299E3F8A"/>
    <w:rsid w:val="2ABE6C52"/>
    <w:rsid w:val="2ABF7B59"/>
    <w:rsid w:val="2B1B574F"/>
    <w:rsid w:val="2C151E25"/>
    <w:rsid w:val="2CFD6180"/>
    <w:rsid w:val="2EDC2122"/>
    <w:rsid w:val="2F4B1662"/>
    <w:rsid w:val="2F4F1C42"/>
    <w:rsid w:val="2FCB0EFA"/>
    <w:rsid w:val="306127E8"/>
    <w:rsid w:val="315E520F"/>
    <w:rsid w:val="31834D9A"/>
    <w:rsid w:val="319D2E0A"/>
    <w:rsid w:val="31F027DF"/>
    <w:rsid w:val="33DE5E56"/>
    <w:rsid w:val="34682BF9"/>
    <w:rsid w:val="34FC34CD"/>
    <w:rsid w:val="35E46369"/>
    <w:rsid w:val="369046AC"/>
    <w:rsid w:val="36913EB9"/>
    <w:rsid w:val="36E43987"/>
    <w:rsid w:val="37F326F9"/>
    <w:rsid w:val="38263F63"/>
    <w:rsid w:val="38277C4F"/>
    <w:rsid w:val="387554D3"/>
    <w:rsid w:val="3885080A"/>
    <w:rsid w:val="38A038DB"/>
    <w:rsid w:val="38AA0169"/>
    <w:rsid w:val="38D03727"/>
    <w:rsid w:val="39E010B6"/>
    <w:rsid w:val="3A7C338E"/>
    <w:rsid w:val="3B7F12E7"/>
    <w:rsid w:val="3BD561D8"/>
    <w:rsid w:val="3BE31C32"/>
    <w:rsid w:val="3C752CAA"/>
    <w:rsid w:val="3C93695A"/>
    <w:rsid w:val="3F3A2108"/>
    <w:rsid w:val="3F9E1C2F"/>
    <w:rsid w:val="402D6EED"/>
    <w:rsid w:val="40572BA6"/>
    <w:rsid w:val="40575782"/>
    <w:rsid w:val="41A229C0"/>
    <w:rsid w:val="421B5540"/>
    <w:rsid w:val="425416AD"/>
    <w:rsid w:val="427F40C3"/>
    <w:rsid w:val="440B0F36"/>
    <w:rsid w:val="44724F1D"/>
    <w:rsid w:val="448E1E9E"/>
    <w:rsid w:val="44D90FC8"/>
    <w:rsid w:val="44DD285F"/>
    <w:rsid w:val="45982D3F"/>
    <w:rsid w:val="464F3F3D"/>
    <w:rsid w:val="466B78DE"/>
    <w:rsid w:val="47755220"/>
    <w:rsid w:val="47B61984"/>
    <w:rsid w:val="48224C4E"/>
    <w:rsid w:val="482C1964"/>
    <w:rsid w:val="4A212B31"/>
    <w:rsid w:val="4A475B7C"/>
    <w:rsid w:val="4A892E1A"/>
    <w:rsid w:val="4BA75289"/>
    <w:rsid w:val="4CA501B4"/>
    <w:rsid w:val="4CEB6606"/>
    <w:rsid w:val="4DE56289"/>
    <w:rsid w:val="4EF2504D"/>
    <w:rsid w:val="4FC5637B"/>
    <w:rsid w:val="4FE74116"/>
    <w:rsid w:val="512637BE"/>
    <w:rsid w:val="51292B01"/>
    <w:rsid w:val="512C578B"/>
    <w:rsid w:val="53EA6F9A"/>
    <w:rsid w:val="53F070C1"/>
    <w:rsid w:val="545D2BA8"/>
    <w:rsid w:val="54A934E9"/>
    <w:rsid w:val="55A2780D"/>
    <w:rsid w:val="55B4202C"/>
    <w:rsid w:val="5A0B65E0"/>
    <w:rsid w:val="5A6C32D7"/>
    <w:rsid w:val="5C1826CA"/>
    <w:rsid w:val="5C5D662E"/>
    <w:rsid w:val="5D53233E"/>
    <w:rsid w:val="5E032063"/>
    <w:rsid w:val="5E3C4F06"/>
    <w:rsid w:val="5E6718CE"/>
    <w:rsid w:val="5EE34F16"/>
    <w:rsid w:val="5EF55435"/>
    <w:rsid w:val="5FBE6E63"/>
    <w:rsid w:val="60507E6D"/>
    <w:rsid w:val="60D32568"/>
    <w:rsid w:val="61B805F3"/>
    <w:rsid w:val="61CC249D"/>
    <w:rsid w:val="6227137B"/>
    <w:rsid w:val="623416F4"/>
    <w:rsid w:val="64082F38"/>
    <w:rsid w:val="643816EF"/>
    <w:rsid w:val="6442112C"/>
    <w:rsid w:val="646D6FF1"/>
    <w:rsid w:val="64E400F0"/>
    <w:rsid w:val="655855F6"/>
    <w:rsid w:val="65C620D8"/>
    <w:rsid w:val="668F0881"/>
    <w:rsid w:val="66EE5EB2"/>
    <w:rsid w:val="66FD4B63"/>
    <w:rsid w:val="67501472"/>
    <w:rsid w:val="6770270C"/>
    <w:rsid w:val="67E57609"/>
    <w:rsid w:val="68136DF9"/>
    <w:rsid w:val="68467009"/>
    <w:rsid w:val="685A4CFC"/>
    <w:rsid w:val="68835C7D"/>
    <w:rsid w:val="68843869"/>
    <w:rsid w:val="68B056ED"/>
    <w:rsid w:val="68D74AB5"/>
    <w:rsid w:val="69957377"/>
    <w:rsid w:val="6A2A1BFB"/>
    <w:rsid w:val="6B230E25"/>
    <w:rsid w:val="6BBD35E1"/>
    <w:rsid w:val="6CAB460E"/>
    <w:rsid w:val="6D186743"/>
    <w:rsid w:val="6D912D15"/>
    <w:rsid w:val="6DB773DA"/>
    <w:rsid w:val="6F7A7829"/>
    <w:rsid w:val="6F8945E5"/>
    <w:rsid w:val="7000610B"/>
    <w:rsid w:val="701647AB"/>
    <w:rsid w:val="71E9466D"/>
    <w:rsid w:val="728F5634"/>
    <w:rsid w:val="72DA7BC8"/>
    <w:rsid w:val="732F74F2"/>
    <w:rsid w:val="733629F2"/>
    <w:rsid w:val="73510555"/>
    <w:rsid w:val="736B747C"/>
    <w:rsid w:val="736F3978"/>
    <w:rsid w:val="739F626B"/>
    <w:rsid w:val="7541042C"/>
    <w:rsid w:val="755D5E57"/>
    <w:rsid w:val="758B55DE"/>
    <w:rsid w:val="75D904B6"/>
    <w:rsid w:val="774A77B5"/>
    <w:rsid w:val="77E058FB"/>
    <w:rsid w:val="78071F72"/>
    <w:rsid w:val="78774C15"/>
    <w:rsid w:val="78827AE1"/>
    <w:rsid w:val="799465E1"/>
    <w:rsid w:val="79D35A65"/>
    <w:rsid w:val="79DF4049"/>
    <w:rsid w:val="7A102ABD"/>
    <w:rsid w:val="7A2F2424"/>
    <w:rsid w:val="7A475814"/>
    <w:rsid w:val="7B84483F"/>
    <w:rsid w:val="7BC539DF"/>
    <w:rsid w:val="7C1164A2"/>
    <w:rsid w:val="7C3137FC"/>
    <w:rsid w:val="7C5B2870"/>
    <w:rsid w:val="7D854857"/>
    <w:rsid w:val="7D876979"/>
    <w:rsid w:val="7DCB2B8A"/>
    <w:rsid w:val="7DDD21DB"/>
    <w:rsid w:val="7EAD531F"/>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3GPP_Header"/>
    <w:basedOn w:val="1"/>
    <w:qFormat/>
    <w:uiPriority w:val="0"/>
    <w:pPr>
      <w:widowControl w:val="0"/>
      <w:tabs>
        <w:tab w:val="left" w:pos="1800"/>
        <w:tab w:val="right" w:pos="9360"/>
      </w:tabs>
      <w:spacing w:after="0" w:line="240" w:lineRule="auto"/>
      <w:jc w:val="both"/>
    </w:pPr>
    <w:rPr>
      <w:rFonts w:ascii="Arial" w:hAnsi="Arial" w:eastAsia="宋体"/>
      <w:b/>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2022-09-29T10:23:17Z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